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FC" w:rsidRDefault="004D40FC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Методические рекомендации</w:t>
        </w:r>
        <w:r>
          <w:rPr>
            <w:rStyle w:val="a4"/>
            <w:rFonts w:cs="Arial"/>
            <w:b w:val="0"/>
            <w:bCs w:val="0"/>
          </w:rPr>
          <w:br/>
          <w:t>об использовании устройств мобильной связи в общеобразовательных организациях</w:t>
        </w:r>
        <w:r>
          <w:rPr>
            <w:rStyle w:val="a4"/>
            <w:rFonts w:cs="Arial"/>
            <w:b w:val="0"/>
            <w:bCs w:val="0"/>
          </w:rPr>
          <w:br/>
          <w:t>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NN МР 2.4.0150-19, 01-230/13-01)</w:t>
        </w:r>
      </w:hyperlink>
    </w:p>
    <w:p w:rsidR="004D40FC" w:rsidRDefault="004D40FC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4D40FC" w:rsidRDefault="004D40FC">
      <w:pPr>
        <w:pStyle w:val="a6"/>
      </w:pPr>
      <w:r>
        <w:t xml:space="preserve">См. </w:t>
      </w:r>
      <w:hyperlink r:id="rId6" w:history="1">
        <w:r>
          <w:rPr>
            <w:rStyle w:val="a4"/>
            <w:rFonts w:cs="Arial"/>
          </w:rPr>
          <w:t>Информацию</w:t>
        </w:r>
      </w:hyperlink>
      <w:r>
        <w:t xml:space="preserve"> Федеральной службы по надзору в сфере защиты прав потребителей и благополучия человека от 19 августа 2019 г. по применению настоящих Методических рекомендаций</w:t>
      </w:r>
    </w:p>
    <w:p w:rsidR="004D40FC" w:rsidRDefault="004D40FC">
      <w:pPr>
        <w:pStyle w:val="a6"/>
      </w:pPr>
    </w:p>
    <w:p w:rsidR="004D40FC" w:rsidRDefault="004D40FC">
      <w:pPr>
        <w:ind w:firstLine="698"/>
        <w:jc w:val="center"/>
      </w:pPr>
      <w:r>
        <w:t>Методические рекомендации об использовании устройств мобильной связи в общеобразовательных организациях</w:t>
      </w:r>
      <w:r>
        <w:br/>
        <w:t>(далее - Методические рекомендации)</w:t>
      </w:r>
    </w:p>
    <w:p w:rsidR="004D40FC" w:rsidRDefault="004D40FC"/>
    <w:p w:rsidR="004D40FC" w:rsidRDefault="004D40FC">
      <w:pPr>
        <w:pStyle w:val="1"/>
      </w:pPr>
      <w:bookmarkStart w:id="0" w:name="sub_100"/>
      <w:r>
        <w:t>1. Общие положения</w:t>
      </w:r>
    </w:p>
    <w:bookmarkEnd w:id="0"/>
    <w:p w:rsidR="004D40FC" w:rsidRDefault="004D40FC"/>
    <w:p w:rsidR="004D40FC" w:rsidRDefault="004D40FC">
      <w:r>
        <w:t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начального общего, основного общего и среднего общего образования (далее - образовательные организации, общеобразовательные программы) с целью профилактики нарушений здоровья обучающихся, повышения эффективности образовательного процесса.</w:t>
      </w:r>
    </w:p>
    <w:p w:rsidR="004D40FC" w:rsidRDefault="004D40FC"/>
    <w:p w:rsidR="004D40FC" w:rsidRDefault="004D40FC">
      <w:pPr>
        <w:pStyle w:val="1"/>
      </w:pPr>
      <w:bookmarkStart w:id="1" w:name="sub_200"/>
      <w:r>
        <w:t>2. Международный опыт регламентации требований к режиму использования устройств мобильной связи в образовательных организациях</w:t>
      </w:r>
    </w:p>
    <w:bookmarkEnd w:id="1"/>
    <w:p w:rsidR="004D40FC" w:rsidRDefault="004D40FC"/>
    <w:p w:rsidR="004D40FC" w:rsidRDefault="004D40FC">
      <w:bookmarkStart w:id="2" w:name="sub_201"/>
      <w:r>
        <w:t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ведущими к нарушениям психики, что проявляется у ребенка гиперактивностью,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Arial"/>
            <w:vertAlign w:val="superscript"/>
          </w:rPr>
          <w:t>1</w:t>
        </w:r>
      </w:hyperlink>
      <w:r>
        <w:t>.</w:t>
      </w:r>
    </w:p>
    <w:bookmarkEnd w:id="2"/>
    <w:p w:rsidR="004D40FC" w:rsidRDefault="004D40FC">
      <w:r>
        <w:t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гипервозбужденности перед сном.</w:t>
      </w:r>
    </w:p>
    <w:p w:rsidR="004D40FC" w:rsidRDefault="004D40FC">
      <w:r>
        <w:t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аудиомоторной реакции, нарушений фонематического восприятия, раздражительности, нарушений сна.</w:t>
      </w:r>
    </w:p>
    <w:p w:rsidR="004D40FC" w:rsidRDefault="004D40FC">
      <w:r>
        <w:t xml:space="preserve"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</w:t>
      </w:r>
      <w:r>
        <w:lastRenderedPageBreak/>
        <w:t>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:rsidR="004D40FC" w:rsidRDefault="004D40FC">
      <w: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4D40FC" w:rsidRDefault="004D40FC">
      <w:r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4D40FC" w:rsidRDefault="004D40FC">
      <w:r>
        <w:t>Так, во Франции принят закон, запрещающий в школах все виды мобильных телефонов, а также планшеты и смарт-часы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Arial"/>
            <w:vertAlign w:val="superscript"/>
          </w:rPr>
          <w:t>2</w:t>
        </w:r>
      </w:hyperlink>
      <w:r>
        <w:t>.</w:t>
      </w:r>
    </w:p>
    <w:p w:rsidR="004D40FC" w:rsidRDefault="004D40FC">
      <w:r>
        <w:t>В Бельгии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Arial"/>
            <w:vertAlign w:val="superscript"/>
          </w:rPr>
          <w:t>3</w:t>
        </w:r>
      </w:hyperlink>
      <w:r>
        <w:t xml:space="preserve"> и Великобритании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Arial"/>
            <w:vertAlign w:val="superscript"/>
          </w:rPr>
          <w:t>4</w:t>
        </w:r>
      </w:hyperlink>
      <w:r>
        <w:t xml:space="preserve">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:rsidR="004D40FC" w:rsidRDefault="004D40FC">
      <w:r>
        <w:t>С 2019 года запрещено пользоваться мобильными телефонами в школах провинции Онтарио (Канада)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rFonts w:cs="Arial"/>
            <w:vertAlign w:val="superscript"/>
          </w:rPr>
          <w:t>5</w:t>
        </w:r>
      </w:hyperlink>
      <w:r>
        <w:t xml:space="preserve"> и в штате Новый Южный Уэльс (Австралия)</w:t>
      </w:r>
      <w:r>
        <w:rPr>
          <w:vertAlign w:val="superscript"/>
        </w:rPr>
        <w:t> </w:t>
      </w:r>
      <w:hyperlink w:anchor="sub_6666" w:history="1">
        <w:r>
          <w:rPr>
            <w:rStyle w:val="a4"/>
            <w:rFonts w:cs="Arial"/>
            <w:vertAlign w:val="superscript"/>
          </w:rPr>
          <w:t>6</w:t>
        </w:r>
      </w:hyperlink>
      <w:r>
        <w:t>.</w:t>
      </w:r>
    </w:p>
    <w:p w:rsidR="004D40FC" w:rsidRDefault="004D40FC">
      <w:r>
        <w:t>Запрещено пользоваться мобильными телефонами с 2012 года в Малайзии и Нигерии, с 2013 года - в Уганде</w:t>
      </w:r>
      <w:r>
        <w:rPr>
          <w:vertAlign w:val="superscript"/>
        </w:rPr>
        <w:t> </w:t>
      </w:r>
      <w:hyperlink w:anchor="sub_7777" w:history="1">
        <w:r>
          <w:rPr>
            <w:rStyle w:val="a4"/>
            <w:rFonts w:cs="Arial"/>
            <w:vertAlign w:val="superscript"/>
          </w:rPr>
          <w:t>7</w:t>
        </w:r>
      </w:hyperlink>
      <w:r>
        <w:t>.</w:t>
      </w:r>
    </w:p>
    <w:p w:rsidR="004D40FC" w:rsidRDefault="004D40FC"/>
    <w:p w:rsidR="004D40FC" w:rsidRDefault="004D40FC">
      <w:pPr>
        <w:pStyle w:val="1"/>
      </w:pPr>
      <w:bookmarkStart w:id="3" w:name="sub_300"/>
      <w:r>
        <w:t>3. Рекомендации по упорядочению использования устройств мобильной связи в образовательных организациях</w:t>
      </w:r>
    </w:p>
    <w:bookmarkEnd w:id="3"/>
    <w:p w:rsidR="004D40FC" w:rsidRDefault="004D40FC"/>
    <w:p w:rsidR="004D40FC" w:rsidRDefault="004D40FC">
      <w:bookmarkStart w:id="4" w:name="sub_203"/>
      <w: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образования, общеобразовательным организациям рекомендуется:</w:t>
      </w:r>
    </w:p>
    <w:bookmarkEnd w:id="4"/>
    <w:p w:rsidR="004D40FC" w:rsidRDefault="004D40FC">
      <w: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</w:p>
    <w:p w:rsidR="004D40FC" w:rsidRDefault="004D40FC">
      <w:r>
        <w:t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 включить в метапредметные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порядка упорядочения использования устройств мобильной связи в образовательной организации для педагогических работников, родителей и обучающихся;</w:t>
      </w:r>
    </w:p>
    <w:p w:rsidR="004D40FC" w:rsidRDefault="004D40FC">
      <w:r>
        <w:t xml:space="preserve">- обеспечить психолого-педагогическое сопровождение процесса, связанного с </w:t>
      </w:r>
      <w:r>
        <w:lastRenderedPageBreak/>
        <w:t>ограничением использования устройств мобильной связи в образовательной организации;</w:t>
      </w:r>
    </w:p>
    <w:p w:rsidR="004D40FC" w:rsidRDefault="004D40FC">
      <w:r>
        <w:t>- предусмотреть для всех участников образовательного процесса целесообразность перевода устройств мобильной связи в режим "без звука"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4D40FC" w:rsidRDefault="004D40FC">
      <w: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4D40FC" w:rsidRDefault="004D40FC">
      <w: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4D40FC" w:rsidRDefault="004D40FC">
      <w:r>
        <w:t>- ограничить использование обучающимися устройств мобильной связи во время учебного процесса;</w:t>
      </w:r>
    </w:p>
    <w:p w:rsidR="004D40FC" w:rsidRDefault="004D40FC">
      <w: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4D40FC" w:rsidRDefault="004D40FC">
      <w: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4D40FC" w:rsidRDefault="004D40FC">
      <w: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</w:p>
    <w:p w:rsidR="004D40FC" w:rsidRDefault="004D40FC">
      <w:r>
        <w:t>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4D40FC" w:rsidRDefault="004D40FC">
      <w:r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4D40FC" w:rsidRDefault="004D40FC">
      <w: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4D40FC" w:rsidRDefault="004D40FC">
      <w:r>
        <w:t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</w:t>
      </w:r>
      <w:hyperlink w:anchor="sub_2000" w:history="1">
        <w:r>
          <w:rPr>
            <w:rStyle w:val="a4"/>
            <w:rFonts w:cs="Arial"/>
          </w:rPr>
          <w:t>Приложение 2</w:t>
        </w:r>
      </w:hyperlink>
      <w:r>
        <w:t>).</w:t>
      </w:r>
    </w:p>
    <w:p w:rsidR="004D40FC" w:rsidRDefault="004D40FC"/>
    <w:tbl>
      <w:tblPr>
        <w:tblW w:w="0" w:type="auto"/>
        <w:tblLook w:val="0000"/>
      </w:tblPr>
      <w:tblGrid>
        <w:gridCol w:w="6666"/>
        <w:gridCol w:w="3333"/>
      </w:tblGrid>
      <w:tr w:rsidR="004D40F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D40FC" w:rsidRDefault="004D40FC">
            <w:pPr>
              <w:pStyle w:val="a8"/>
            </w:pPr>
            <w:r>
              <w:t>Руководитель Федеральной службы</w:t>
            </w:r>
            <w:r>
              <w:br/>
              <w:t>по надзору в сфере защиты прав</w:t>
            </w:r>
            <w:r>
              <w:br/>
              <w:t>потребителей и благополучия человека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D40FC" w:rsidRDefault="004D40FC">
            <w:pPr>
              <w:pStyle w:val="a7"/>
              <w:jc w:val="right"/>
            </w:pPr>
            <w:r>
              <w:t>А.Ю. Попова</w:t>
            </w:r>
          </w:p>
        </w:tc>
      </w:tr>
    </w:tbl>
    <w:p w:rsidR="004D40FC" w:rsidRDefault="004D40FC"/>
    <w:tbl>
      <w:tblPr>
        <w:tblW w:w="0" w:type="auto"/>
        <w:tblLook w:val="0000"/>
      </w:tblPr>
      <w:tblGrid>
        <w:gridCol w:w="6666"/>
        <w:gridCol w:w="3333"/>
      </w:tblGrid>
      <w:tr w:rsidR="004D40F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D40FC" w:rsidRDefault="004D40FC">
            <w:pPr>
              <w:pStyle w:val="a8"/>
            </w:pPr>
            <w:r>
              <w:t>Руководитель Федеральной службы</w:t>
            </w:r>
            <w:r>
              <w:br/>
              <w:t>по надзору в сфере образования и науки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D40FC" w:rsidRDefault="004D40FC">
            <w:pPr>
              <w:pStyle w:val="a7"/>
              <w:jc w:val="right"/>
            </w:pPr>
            <w:r>
              <w:t>С.С. Кравцов</w:t>
            </w:r>
          </w:p>
        </w:tc>
      </w:tr>
    </w:tbl>
    <w:p w:rsidR="004D40FC" w:rsidRDefault="004D40FC"/>
    <w:p w:rsidR="004D40FC" w:rsidRDefault="004D40FC">
      <w:pPr>
        <w:pStyle w:val="a8"/>
      </w:pPr>
      <w:r>
        <w:t>______________________________</w:t>
      </w:r>
    </w:p>
    <w:p w:rsidR="004D40FC" w:rsidRDefault="004D40FC">
      <w:bookmarkStart w:id="5" w:name="sub_1111"/>
      <w:r>
        <w:rPr>
          <w:vertAlign w:val="superscript"/>
        </w:rPr>
        <w:lastRenderedPageBreak/>
        <w:t>1</w:t>
      </w:r>
      <w:r>
        <w:t xml:space="preserve"> Nathanson A.I., Alade F., Sharp M.L., Rasmussen E.E., Christy K. The relation between television exposure and executive function among preschoolers // Dev. Psychol. 2014. N  50. P. 1497-1506; https://www.frontiersin.org/articles/10.3389/fpsyg.2017.01833/full; Pagani L.S., Fitzpatrick C. Barnett T.A., Dubow E. Prospective associations between early childhood television exposure and academic, psychosocial, and physical well-being by middle childhood // Arch. Pediatr. Adolesc. Med. 2010. T. 164. P. 425-431; https://jamanetwork.com/journals/jamapediatrics/article-abstract/383160; Moreira, G.A., Pradella-Hallinan M. Sleepiness in Children // Sleep Med. Clin. 2017. N 12. P. 407-413; https://www.ncbi.nlm.nih.gov.</w:t>
      </w:r>
    </w:p>
    <w:p w:rsidR="004D40FC" w:rsidRDefault="004D40FC">
      <w:bookmarkStart w:id="6" w:name="sub_2222"/>
      <w:bookmarkEnd w:id="5"/>
      <w:r>
        <w:rPr>
          <w:vertAlign w:val="superscript"/>
        </w:rPr>
        <w:t>2</w:t>
      </w:r>
      <w:r>
        <w:t xml:space="preserve"> http://www.legifrance.gouv.fr/affichTexte.do?cidTexte=JORFTEXT000037284333&amp; dateTexte= &amp;categorieLien=id; https: //www.theguardian.com/world/2018/jun/07/french-school-students-to-be-banned-from-using-mobile-phones.</w:t>
      </w:r>
    </w:p>
    <w:p w:rsidR="004D40FC" w:rsidRDefault="004D40FC">
      <w:bookmarkStart w:id="7" w:name="sub_3333"/>
      <w:bookmarkEnd w:id="6"/>
      <w:r>
        <w:rPr>
          <w:vertAlign w:val="superscript"/>
        </w:rPr>
        <w:t>3</w:t>
      </w:r>
      <w:r>
        <w:t> https://ru.euronews.com/2018/09/03/ru-school-phones.</w:t>
      </w:r>
    </w:p>
    <w:p w:rsidR="004D40FC" w:rsidRDefault="004D40FC">
      <w:bookmarkStart w:id="8" w:name="sub_4444"/>
      <w:bookmarkEnd w:id="7"/>
      <w:r>
        <w:rPr>
          <w:vertAlign w:val="superscript"/>
        </w:rPr>
        <w:t>4</w:t>
      </w:r>
      <w:r>
        <w:t xml:space="preserve"> https://www.theguardian.com/education/2015/may/16/schools-mobile-phones-academic-results.</w:t>
      </w:r>
    </w:p>
    <w:p w:rsidR="004D40FC" w:rsidRDefault="004D40FC">
      <w:bookmarkStart w:id="9" w:name="sub_5555"/>
      <w:bookmarkEnd w:id="8"/>
      <w:r>
        <w:rPr>
          <w:vertAlign w:val="superscript"/>
        </w:rPr>
        <w:t>5</w:t>
      </w:r>
      <w:r>
        <w:t xml:space="preserve"> https://www.oxfordlearning.com/should-cell-phones-be-allowed-classrooms/.</w:t>
      </w:r>
    </w:p>
    <w:p w:rsidR="004D40FC" w:rsidRDefault="004D40FC">
      <w:bookmarkStart w:id="10" w:name="sub_6666"/>
      <w:bookmarkEnd w:id="9"/>
      <w:r>
        <w:rPr>
          <w:vertAlign w:val="superscript"/>
        </w:rPr>
        <w:t>6</w:t>
      </w:r>
      <w:r>
        <w:t xml:space="preserve"> https://kidspot.co.nz/school-age/back-to-school/should-mobile-phones-be-banned-from-schools/.</w:t>
      </w:r>
    </w:p>
    <w:p w:rsidR="004D40FC" w:rsidRDefault="004D40FC">
      <w:bookmarkStart w:id="11" w:name="sub_7777"/>
      <w:bookmarkEnd w:id="10"/>
      <w:r>
        <w:rPr>
          <w:vertAlign w:val="superscript"/>
        </w:rPr>
        <w:t>7</w:t>
      </w:r>
      <w:r>
        <w:t xml:space="preserve"> https://blogs.worldbank.org/edutech/banning-and-unbanning-phones-schools.</w:t>
      </w:r>
    </w:p>
    <w:bookmarkEnd w:id="11"/>
    <w:p w:rsidR="004D40FC" w:rsidRDefault="004D40FC">
      <w:pPr>
        <w:pStyle w:val="a8"/>
      </w:pPr>
      <w:r>
        <w:t>______________________________</w:t>
      </w:r>
    </w:p>
    <w:p w:rsidR="004D40FC" w:rsidRDefault="004D40FC"/>
    <w:p w:rsidR="004D40FC" w:rsidRDefault="004D40FC">
      <w:pPr>
        <w:ind w:firstLine="0"/>
        <w:jc w:val="right"/>
      </w:pPr>
      <w:bookmarkStart w:id="12" w:name="sub_1000"/>
      <w:r>
        <w:rPr>
          <w:rStyle w:val="a3"/>
          <w:bCs/>
        </w:rPr>
        <w:t>Приложение 1</w:t>
      </w:r>
    </w:p>
    <w:bookmarkEnd w:id="12"/>
    <w:p w:rsidR="004D40FC" w:rsidRDefault="004D40FC"/>
    <w:p w:rsidR="004D40FC" w:rsidRDefault="004D40FC">
      <w:pPr>
        <w:pStyle w:val="1"/>
      </w:pPr>
      <w:r>
        <w:t>Результаты исследований, показавших отрицательные последствия использования устройств мобильной связи на здоровье детей</w:t>
      </w:r>
    </w:p>
    <w:p w:rsidR="004D40FC" w:rsidRDefault="004D40FC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5"/>
        <w:gridCol w:w="6161"/>
      </w:tblGrid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7"/>
              <w:jc w:val="center"/>
            </w:pPr>
            <w:r>
              <w:t>Исследователи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7"/>
              <w:jc w:val="center"/>
            </w:pPr>
            <w:r>
              <w:t>Отрицательные эффекты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Burnett and Lee, 2005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Day J.J et al., 2007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Формирование психологической зависимости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Ophir et al., 2009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Черненков Ю.В. и др., 2009; Pagani L.S., et al., 2010;</w:t>
            </w:r>
          </w:p>
          <w:p w:rsidR="004D40FC" w:rsidRDefault="004D40FC">
            <w:pPr>
              <w:pStyle w:val="a8"/>
            </w:pPr>
            <w:r>
              <w:t>Nathanson A.I. et al., 2014;</w:t>
            </w:r>
          </w:p>
          <w:p w:rsidR="004D40FC" w:rsidRDefault="004D40FC">
            <w:pPr>
              <w:pStyle w:val="a8"/>
            </w:pPr>
            <w:r>
              <w:t>Moreira, G.A et al., 2017;</w:t>
            </w:r>
          </w:p>
          <w:p w:rsidR="004D40FC" w:rsidRDefault="004D40FC">
            <w:pPr>
              <w:pStyle w:val="a8"/>
            </w:pPr>
            <w:r>
              <w:t>Григорьев Ю.Г. и др., 2017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Гиперактивность,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Panda N. et al., 2010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Нарушения фонематического восприятия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Sparrow et al., 2011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Запоминают не саму информацию, а место, где эта информация может быть доступна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Lu M. et al., 2012</w:t>
            </w:r>
          </w:p>
          <w:p w:rsidR="004D40FC" w:rsidRDefault="004D40FC">
            <w:pPr>
              <w:pStyle w:val="a8"/>
            </w:pPr>
            <w:r>
              <w:t>L. Hardell et al., 2013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Риски доброкачественных и злокачественных опухолей головного мозга, слухового нерва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Ralph et al., 2013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Более высокие уровни ежедневных сбоев внимания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Thornton et al., 2014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 xml:space="preserve">"Простое присутствие" сотового телефона может </w:t>
            </w:r>
            <w:r>
              <w:lastRenderedPageBreak/>
              <w:t>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lastRenderedPageBreak/>
              <w:t>Lepp et al., 2014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Положительная корреляция между использованием смартфона и беспокойством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Owens, J.A. et al., 2014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Задержка начала сна, сокращение ночного сна, прерывистый сон, дневная сонливость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Stothart et al., 2015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Barr et al., 2015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Большее использования смартфона коррелирует с более интуитивным и менее аналитическим мышлением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Moisala et al., 2016;</w:t>
            </w:r>
          </w:p>
          <w:p w:rsidR="004D40FC" w:rsidRDefault="004D40FC">
            <w:pPr>
              <w:pStyle w:val="a8"/>
            </w:pPr>
            <w:r>
              <w:t>Lepp A et al. 2015;</w:t>
            </w:r>
          </w:p>
          <w:p w:rsidR="004D40FC" w:rsidRDefault="004D40FC">
            <w:pPr>
              <w:pStyle w:val="a8"/>
            </w:pPr>
            <w:r>
              <w:t>Beland L.-P., 2015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При наличии раздражителей, отвлекающих внимание во время задачи постоянного внимания, "многозадачники" работают хуже и больше активности в правой префронтальной коре, отмечается снижение успеваемости</w:t>
            </w:r>
          </w:p>
        </w:tc>
      </w:tr>
      <w:tr w:rsidR="004D40FC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Default="004D40FC">
            <w:pPr>
              <w:pStyle w:val="a8"/>
            </w:pPr>
            <w:r>
              <w:t>Cain et al., 2016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Default="004D40FC">
            <w:pPr>
              <w:pStyle w:val="a8"/>
            </w:pPr>
            <w: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4D40FC" w:rsidRDefault="004D40FC"/>
    <w:p w:rsidR="004D40FC" w:rsidRDefault="004D40FC">
      <w:pPr>
        <w:ind w:firstLine="0"/>
        <w:jc w:val="right"/>
      </w:pPr>
      <w:bookmarkStart w:id="13" w:name="sub_2000"/>
      <w:r>
        <w:rPr>
          <w:rStyle w:val="a3"/>
          <w:bCs/>
        </w:rPr>
        <w:t>Приложение 2</w:t>
      </w:r>
    </w:p>
    <w:bookmarkEnd w:id="13"/>
    <w:p w:rsidR="004D40FC" w:rsidRDefault="004D40FC"/>
    <w:p w:rsidR="004D40FC" w:rsidRDefault="004D40FC">
      <w:pPr>
        <w:pStyle w:val="1"/>
      </w:pPr>
      <w: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4D40FC" w:rsidRDefault="004D40FC"/>
    <w:p w:rsidR="004D40FC" w:rsidRDefault="004D40FC">
      <w:bookmarkStart w:id="14" w:name="sub_2001"/>
      <w: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4D40FC" w:rsidRDefault="004D40FC">
      <w:bookmarkStart w:id="15" w:name="sub_2002"/>
      <w:bookmarkEnd w:id="14"/>
      <w:r>
        <w:t>2. Максимальное сокращение времени контакта с устройствами мобильной связи.</w:t>
      </w:r>
    </w:p>
    <w:p w:rsidR="004D40FC" w:rsidRDefault="004D40FC">
      <w:bookmarkStart w:id="16" w:name="sub_2003"/>
      <w:bookmarkEnd w:id="15"/>
      <w: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4D40FC" w:rsidRDefault="004D40FC">
      <w:bookmarkStart w:id="17" w:name="sub_2004"/>
      <w:bookmarkEnd w:id="16"/>
      <w: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4D40FC" w:rsidRDefault="004D40FC">
      <w:bookmarkStart w:id="18" w:name="sub_2005"/>
      <w:bookmarkEnd w:id="17"/>
      <w:r>
        <w:t>5. Размещение устройств мобильной связи на ночь на расстоянии более 2 метров от головы.</w:t>
      </w:r>
    </w:p>
    <w:bookmarkEnd w:id="18"/>
    <w:p w:rsidR="004D40FC" w:rsidRDefault="004D40FC"/>
    <w:sectPr w:rsidR="004D40F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10B9"/>
    <w:rsid w:val="00054DEE"/>
    <w:rsid w:val="00250765"/>
    <w:rsid w:val="004D40FC"/>
    <w:rsid w:val="00B510B9"/>
    <w:rsid w:val="00C3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519216.0" TargetMode="External"/><Relationship Id="rId5" Type="http://schemas.openxmlformats.org/officeDocument/2006/relationships/hyperlink" Target="garantF1://7251613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2026</Words>
  <Characters>11551</Characters>
  <Application>Microsoft Office Word</Application>
  <DocSecurity>0</DocSecurity>
  <Lines>96</Lines>
  <Paragraphs>27</Paragraphs>
  <ScaleCrop>false</ScaleCrop>
  <Company>НПП "Гарант-Сервис"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Андрей</cp:lastModifiedBy>
  <cp:revision>2</cp:revision>
  <dcterms:created xsi:type="dcterms:W3CDTF">2022-01-31T12:45:00Z</dcterms:created>
  <dcterms:modified xsi:type="dcterms:W3CDTF">2022-01-31T12:45:00Z</dcterms:modified>
</cp:coreProperties>
</file>