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0FC" w:rsidRDefault="004D40FC">
      <w:pPr>
        <w:pStyle w:val="1"/>
      </w:pPr>
      <w:hyperlink r:id="rId5" w:history="1">
        <w:r>
          <w:rPr>
            <w:rStyle w:val="a4"/>
            <w:rFonts w:cs="Arial"/>
            <w:b w:val="0"/>
            <w:bCs w:val="0"/>
          </w:rPr>
          <w:t>Методические рекомендации</w:t>
        </w:r>
        <w:r>
          <w:rPr>
            <w:rStyle w:val="a4"/>
            <w:rFonts w:cs="Arial"/>
            <w:b w:val="0"/>
            <w:bCs w:val="0"/>
          </w:rPr>
          <w:br/>
          <w:t>об использовании устройств мобильной связи в общеобразовательных организациях</w:t>
        </w:r>
        <w:r>
          <w:rPr>
            <w:rStyle w:val="a4"/>
            <w:rFonts w:cs="Arial"/>
            <w:b w:val="0"/>
            <w:bCs w:val="0"/>
          </w:rPr>
          <w:br/>
          <w:t>(утв. Федеральной службой по надзору в сфере защиты прав потребителей и благополучия человека и Федеральной службой по надзору в сфере образования и науки от 14 августа 2019 г. NN МР 2.4.0150-19, 01-230/13-01)</w:t>
        </w:r>
      </w:hyperlink>
    </w:p>
    <w:p w:rsidR="004D40FC" w:rsidRDefault="004D40FC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4D40FC" w:rsidRDefault="004D40FC">
      <w:pPr>
        <w:pStyle w:val="a6"/>
      </w:pPr>
      <w:r>
        <w:t xml:space="preserve">См. </w:t>
      </w:r>
      <w:hyperlink r:id="rId6" w:history="1">
        <w:r>
          <w:rPr>
            <w:rStyle w:val="a4"/>
            <w:rFonts w:cs="Arial"/>
          </w:rPr>
          <w:t>Информацию</w:t>
        </w:r>
      </w:hyperlink>
      <w:r>
        <w:t xml:space="preserve"> Федеральной службы по надзору в сфере защиты прав потребителей и благополучия человека от 19 августа 2019 г. по применению настоящих Методических рекомендаций</w:t>
      </w:r>
    </w:p>
    <w:p w:rsidR="004D40FC" w:rsidRDefault="004D40FC">
      <w:pPr>
        <w:pStyle w:val="a6"/>
      </w:pPr>
    </w:p>
    <w:p w:rsidR="004D40FC" w:rsidRDefault="004D40FC">
      <w:pPr>
        <w:ind w:firstLine="698"/>
        <w:jc w:val="center"/>
      </w:pPr>
      <w:r>
        <w:t>Методические рекомендации об использовании устройств мобильной связи в общеобразовательных организациях</w:t>
      </w:r>
      <w:r>
        <w:br/>
        <w:t>(далее - Методические рекомендации)</w:t>
      </w:r>
    </w:p>
    <w:p w:rsidR="004D40FC" w:rsidRDefault="004D40FC"/>
    <w:p w:rsidR="004D40FC" w:rsidRDefault="004D40FC">
      <w:pPr>
        <w:pStyle w:val="1"/>
      </w:pPr>
      <w:bookmarkStart w:id="0" w:name="sub_100"/>
      <w:r>
        <w:t>1. Общие положения</w:t>
      </w:r>
    </w:p>
    <w:bookmarkEnd w:id="0"/>
    <w:p w:rsidR="004D40FC" w:rsidRDefault="004D40FC"/>
    <w:p w:rsidR="004D40FC" w:rsidRDefault="004D40FC">
      <w:r>
        <w:t>Целью настоящих Методических рекомендаций является определение порядка использования устройств мобильной связи в образовательных организациях Российской Федерации, реализующих образовательные программы начального общего, основного общего и среднего общего образования (далее - образовательные организации, общеобразовательные программы) с целью профилактики нарушений здоровья обучающихся, повышения эффективности образовательного процесса.</w:t>
      </w:r>
    </w:p>
    <w:p w:rsidR="004D40FC" w:rsidRDefault="004D40FC"/>
    <w:p w:rsidR="004D40FC" w:rsidRDefault="004D40FC">
      <w:pPr>
        <w:pStyle w:val="1"/>
      </w:pPr>
      <w:bookmarkStart w:id="1" w:name="sub_200"/>
      <w:r>
        <w:t>2. Международный опыт регламентации требований к режиму использования устройств мобильной связи в образовательных организациях</w:t>
      </w:r>
    </w:p>
    <w:bookmarkEnd w:id="1"/>
    <w:p w:rsidR="004D40FC" w:rsidRDefault="004D40FC"/>
    <w:p w:rsidR="004D40FC" w:rsidRDefault="004D40FC">
      <w:bookmarkStart w:id="2" w:name="sub_201"/>
      <w:r>
        <w:t>Анализ международного опыта показал, что ранний возраст начала использования устройств мобильной связи и длительные накопленное время их использования являются факторами, ведущими к нарушениям психики, что проявляется у ребенка гиперактивностью, повышенной раздражительностью, снижением долговременной памяти и умственной работоспособности, нарушением коммуникативных способностей, расстройством сна</w:t>
      </w:r>
      <w:r>
        <w:rPr>
          <w:vertAlign w:val="superscript"/>
        </w:rPr>
        <w:t> </w:t>
      </w:r>
      <w:hyperlink w:anchor="sub_1111" w:history="1">
        <w:r>
          <w:rPr>
            <w:rStyle w:val="a4"/>
            <w:rFonts w:cs="Arial"/>
            <w:vertAlign w:val="superscript"/>
          </w:rPr>
          <w:t>1</w:t>
        </w:r>
      </w:hyperlink>
      <w:r>
        <w:t>.</w:t>
      </w:r>
    </w:p>
    <w:bookmarkEnd w:id="2"/>
    <w:p w:rsidR="004D40FC" w:rsidRDefault="004D40FC">
      <w:r>
        <w:t>Чрезмерная эмоциональная и психическая стимуляция от использования электронных средств массовой информации вызывает у детей состояние психологической и физиологической гипервозбужденности перед сном.</w:t>
      </w:r>
    </w:p>
    <w:p w:rsidR="004D40FC" w:rsidRDefault="004D40FC">
      <w:r>
        <w:t>Исследования, представленные в работах российских ученых, выявили негативные реакции у детей, использующих мобильные телефоны в образовательной организации, существенно отличающие их от сверстников, не использующих мобильные устройства. Негативные реакции проявлялись в виде ослабления смысловой памяти, снижения внимания, скорости аудиомоторной реакции, нарушений фонематического восприятия, раздражительности, нарушений сна.</w:t>
      </w:r>
    </w:p>
    <w:p w:rsidR="004D40FC" w:rsidRDefault="004D40FC">
      <w:r>
        <w:t xml:space="preserve">Проведенные исследования свидетельствуют об отрицательной зависимости времени пользования смартфоном и успеваемостью у обучающихся: чем больше времени ежедневно он тратит на смартфон, тем хуже справляется с учебными тестами. Таким образом, интенсивное использование телефона даже для решения учебных задач может отрицательно сказываться на учебной деятельности. Объяснение полученной зависимости исследователи связывают с феноменом многозадачности. </w:t>
      </w:r>
      <w:r>
        <w:lastRenderedPageBreak/>
        <w:t>Многофункциональность телефона, наличие множества приложений неизбежно создают ситуацию многозадачности, требующую постоянных переключений с одного вида активности на другой, в том числе в процессе обучения. Это ведет к ухудшению усвоения материала и снижению успеваемости.</w:t>
      </w:r>
    </w:p>
    <w:p w:rsidR="004D40FC" w:rsidRDefault="004D40FC">
      <w:r>
        <w:t>Для оценки роли использования смартфонов в учебной деятельности в Великобритании было проведено исследование, которое показало, что запрет на использование телефона в школе у 16-летних школьников повышает успешность сдачи тестов на 6,4%.</w:t>
      </w:r>
    </w:p>
    <w:p w:rsidR="004D40FC" w:rsidRDefault="004D40FC">
      <w:r>
        <w:t>В Австралии, Бельгии, Великобритании, Канаде, Малайзии, Нигерии, Франции, Узбекистане, Уганде по результатам исследований выработаны рекомендации по режиму использования устройств мобильной связи детьми, в том числе в образовательных учреждениях.</w:t>
      </w:r>
    </w:p>
    <w:p w:rsidR="004D40FC" w:rsidRDefault="004D40FC">
      <w:r>
        <w:t>Так, во Франции принят закон, запрещающий в школах все виды мобильных телефонов, а также планшеты и смарт-часы</w:t>
      </w:r>
      <w:r>
        <w:rPr>
          <w:vertAlign w:val="superscript"/>
        </w:rPr>
        <w:t> </w:t>
      </w:r>
      <w:hyperlink w:anchor="sub_2222" w:history="1">
        <w:r>
          <w:rPr>
            <w:rStyle w:val="a4"/>
            <w:rFonts w:cs="Arial"/>
            <w:vertAlign w:val="superscript"/>
          </w:rPr>
          <w:t>2</w:t>
        </w:r>
      </w:hyperlink>
      <w:r>
        <w:t>.</w:t>
      </w:r>
    </w:p>
    <w:p w:rsidR="004D40FC" w:rsidRDefault="004D40FC">
      <w:r>
        <w:t>В Бельгии</w:t>
      </w:r>
      <w:r>
        <w:rPr>
          <w:vertAlign w:val="superscript"/>
        </w:rPr>
        <w:t> </w:t>
      </w:r>
      <w:hyperlink w:anchor="sub_3333" w:history="1">
        <w:r>
          <w:rPr>
            <w:rStyle w:val="a4"/>
            <w:rFonts w:cs="Arial"/>
            <w:vertAlign w:val="superscript"/>
          </w:rPr>
          <w:t>3</w:t>
        </w:r>
      </w:hyperlink>
      <w:r>
        <w:t xml:space="preserve"> и Великобритании</w:t>
      </w:r>
      <w:r>
        <w:rPr>
          <w:vertAlign w:val="superscript"/>
        </w:rPr>
        <w:t> </w:t>
      </w:r>
      <w:hyperlink w:anchor="sub_4444" w:history="1">
        <w:r>
          <w:rPr>
            <w:rStyle w:val="a4"/>
            <w:rFonts w:cs="Arial"/>
            <w:vertAlign w:val="superscript"/>
          </w:rPr>
          <w:t>4</w:t>
        </w:r>
      </w:hyperlink>
      <w:r>
        <w:t xml:space="preserve"> вопрос запрета на использование мобильных телефонов решается по каждой школе индивидуально. Общего разрешительного или запретительного правила не установлено.</w:t>
      </w:r>
    </w:p>
    <w:p w:rsidR="004D40FC" w:rsidRDefault="004D40FC">
      <w:r>
        <w:t>С 2019 года запрещено пользоваться мобильными телефонами в школах провинции Онтарио (Канада)</w:t>
      </w:r>
      <w:r>
        <w:rPr>
          <w:vertAlign w:val="superscript"/>
        </w:rPr>
        <w:t> </w:t>
      </w:r>
      <w:hyperlink w:anchor="sub_5555" w:history="1">
        <w:r>
          <w:rPr>
            <w:rStyle w:val="a4"/>
            <w:rFonts w:cs="Arial"/>
            <w:vertAlign w:val="superscript"/>
          </w:rPr>
          <w:t>5</w:t>
        </w:r>
      </w:hyperlink>
      <w:r>
        <w:t xml:space="preserve"> и в штате Новый Южный Уэльс (Австралия)</w:t>
      </w:r>
      <w:r>
        <w:rPr>
          <w:vertAlign w:val="superscript"/>
        </w:rPr>
        <w:t> </w:t>
      </w:r>
      <w:hyperlink w:anchor="sub_6666" w:history="1">
        <w:r>
          <w:rPr>
            <w:rStyle w:val="a4"/>
            <w:rFonts w:cs="Arial"/>
            <w:vertAlign w:val="superscript"/>
          </w:rPr>
          <w:t>6</w:t>
        </w:r>
      </w:hyperlink>
      <w:r>
        <w:t>.</w:t>
      </w:r>
    </w:p>
    <w:p w:rsidR="004D40FC" w:rsidRDefault="004D40FC">
      <w:r>
        <w:t>Запрещено пользоваться мобильными телефонами с 2012 года в Малайзии и Нигерии, с 2013 года - в Уганде</w:t>
      </w:r>
      <w:r>
        <w:rPr>
          <w:vertAlign w:val="superscript"/>
        </w:rPr>
        <w:t> </w:t>
      </w:r>
      <w:hyperlink w:anchor="sub_7777" w:history="1">
        <w:r>
          <w:rPr>
            <w:rStyle w:val="a4"/>
            <w:rFonts w:cs="Arial"/>
            <w:vertAlign w:val="superscript"/>
          </w:rPr>
          <w:t>7</w:t>
        </w:r>
      </w:hyperlink>
      <w:r>
        <w:t>.</w:t>
      </w:r>
    </w:p>
    <w:p w:rsidR="004D40FC" w:rsidRDefault="004D40FC"/>
    <w:p w:rsidR="004D40FC" w:rsidRDefault="004D40FC">
      <w:pPr>
        <w:pStyle w:val="1"/>
      </w:pPr>
      <w:bookmarkStart w:id="3" w:name="sub_300"/>
      <w:r>
        <w:t>3. Рекомендации по упорядочению использования устройств мобильной связи в образовательных организациях</w:t>
      </w:r>
    </w:p>
    <w:bookmarkEnd w:id="3"/>
    <w:p w:rsidR="004D40FC" w:rsidRDefault="004D40FC"/>
    <w:p w:rsidR="004D40FC" w:rsidRDefault="004D40FC">
      <w:bookmarkStart w:id="4" w:name="sub_203"/>
      <w:r>
        <w:t>В целях минимизации вредного воздействия на детей устройств мобильной связи органам государственной власти субъектов Российской Федерации в сфере образования, местного самоуправления муниципальных районов и городских округов в сфере образования, общеобразовательным организациям рекомендуется:</w:t>
      </w:r>
    </w:p>
    <w:bookmarkEnd w:id="4"/>
    <w:p w:rsidR="004D40FC" w:rsidRDefault="004D40FC">
      <w:r>
        <w:t>- рассмотреть вопрос об ограничении использования мобильных устройств связи в образовательной организации обучающимися, за исключением детей, нуждающихся в пользовании такими устройствами по состоянию здоровья (мониторинг сахара крови при сахарном диабете 1 типа и др.), а также педагогическими работниками и родителями в целях снижения рисков нанесения вреда здоровью и развитию детей в связи с использованием устройств мобильной связи;</w:t>
      </w:r>
    </w:p>
    <w:p w:rsidR="004D40FC" w:rsidRDefault="004D40FC">
      <w:r>
        <w:t>- проводить регулярную информационно-просветительскую и разъяснительную работу с руководителями образовательных организаций, педагогическими работниками (в том числе через курсы повышения квалификации с привлечением квалифицированных специалистов), родителями (законными представителями) и обучающимися о рисках здоровью от воздействия электромагнитного излучения, генерируемого устройствами мобильной связи, о возможных негативных последствиях и эффективности учебного процесса при неупорядоченном использовании устройств мобильной связи в образовательном процессе; включить в метапредметные результаты основных образовательных программ школ вопросы формирования знаний и навыков по соблюдению правил безопасности в современной цифровой среде; разрабатывать памятки, инструкции, иные средства наглядной агитации по разъяснению порядка упорядочения использования устройств мобильной связи в образовательной организации для педагогических работников, родителей и обучающихся;</w:t>
      </w:r>
    </w:p>
    <w:p w:rsidR="004D40FC" w:rsidRDefault="004D40FC">
      <w:r>
        <w:t xml:space="preserve">- обеспечить психолого-педагогическое сопровождение процесса, связанного с </w:t>
      </w:r>
      <w:r>
        <w:lastRenderedPageBreak/>
        <w:t>ограничением использования устройств мобильной связи в образовательной организации;</w:t>
      </w:r>
    </w:p>
    <w:p w:rsidR="004D40FC" w:rsidRDefault="004D40FC">
      <w:r>
        <w:t>- предусмотреть для всех участников образовательного процесса целесообразность перевода устройств мобильной связи в режим "без звука" при входе в образовательную организацию (в том числе с исключением использования режима вибрации из-за возникновения фантомных вибраций);</w:t>
      </w:r>
    </w:p>
    <w:p w:rsidR="004D40FC" w:rsidRDefault="004D40FC">
      <w:r>
        <w:t>- информировать родителей и обучающихся об их ответственности за сохранность личных устройств мобильной связи в общеобразовательной организации;</w:t>
      </w:r>
    </w:p>
    <w:p w:rsidR="004D40FC" w:rsidRDefault="004D40FC">
      <w:r>
        <w:t>- предусмотреть места хранения во время образовательного процесса устройств мобильной связи обучающихся (при наличии такой возможности и необходимости);</w:t>
      </w:r>
    </w:p>
    <w:p w:rsidR="004D40FC" w:rsidRDefault="004D40FC">
      <w:r>
        <w:t>- ограничить использование обучающимися устройств мобильной связи во время учебного процесса;</w:t>
      </w:r>
    </w:p>
    <w:p w:rsidR="004D40FC" w:rsidRDefault="004D40FC">
      <w:r>
        <w:t>- учитывать необходимость использования имеющихся ресурсов образовательной организации или ресурсов иных организаций (в рамках сетевой формы) при выборе образовательных технологий и методик, в том числе для использования доступа обучающихся к их учетной записи в случае перехода в школе на электронные дневники, без использования личных устройств мобильной связи обучающихся;</w:t>
      </w:r>
    </w:p>
    <w:p w:rsidR="004D40FC" w:rsidRDefault="004D40FC">
      <w:r>
        <w:t>- проводить мероприятия, направленные на воспитание культуры использования устройств мобильной связи у всех участников образовательного процесса, с использованием воспитательного потенциала совместной работы (педагогического коллектива с детьми, старшеклассников с младшими детьми) в части воспитания культуры использования устройств мобильной связи;</w:t>
      </w:r>
    </w:p>
    <w:p w:rsidR="004D40FC" w:rsidRDefault="004D40FC">
      <w:r>
        <w:t>- обеспечить согласование с родителями вопросов коммуникации родителей с обучающимися в случае возникновения необходимости, внештатной ситуации;</w:t>
      </w:r>
    </w:p>
    <w:p w:rsidR="004D40FC" w:rsidRDefault="004D40FC">
      <w:r>
        <w:t>- определить лиц, организующих выполнение мероприятий с обучающимися и их родителями по выработке культуры безопасной эксплуатации устройств мобильной связи, профилактике неблагоприятных для здоровья и обучения детей эффектов; за соблюдение установленного порядка; хранение устройств мобильной связи;</w:t>
      </w:r>
    </w:p>
    <w:p w:rsidR="004D40FC" w:rsidRDefault="004D40FC">
      <w:r>
        <w:t>- использовать время перемен для общения, активного отдыха обучающихся между уроками (занятиями), восполнения их физиологической потребности в двигательной активности с учетом возрастных норм; при необходимости - использование на переменах устройств мобильной связи по прямому назначению (для звонка, смс-сообщения);</w:t>
      </w:r>
    </w:p>
    <w:p w:rsidR="004D40FC" w:rsidRDefault="004D40FC">
      <w:r>
        <w:t>- осуществлять мониторинг и анализ работы образовательных организаций по упорядочению использования участниками образовательного процесса устройств мобильной связи с целью профилактики неблагоприятных для здоровья и обучения детей эффектов, повышения эффективности образовательного процесса и воспитания;</w:t>
      </w:r>
    </w:p>
    <w:p w:rsidR="004D40FC" w:rsidRDefault="004D40FC">
      <w:r>
        <w:t>- распространить Памятки для обучающихся, родителей и педагогических работников по профилактике неблагоприятных для здоровья и обучения детей эффектов от воздействия устройств мобильной связи (</w:t>
      </w:r>
      <w:hyperlink w:anchor="sub_2000" w:history="1">
        <w:r>
          <w:rPr>
            <w:rStyle w:val="a4"/>
            <w:rFonts w:cs="Arial"/>
          </w:rPr>
          <w:t>Приложение 2</w:t>
        </w:r>
      </w:hyperlink>
      <w:r>
        <w:t>).</w:t>
      </w:r>
    </w:p>
    <w:p w:rsidR="004D40FC" w:rsidRDefault="004D40FC"/>
    <w:tbl>
      <w:tblPr>
        <w:tblW w:w="0" w:type="auto"/>
        <w:tblLook w:val="0000"/>
      </w:tblPr>
      <w:tblGrid>
        <w:gridCol w:w="6666"/>
        <w:gridCol w:w="3333"/>
      </w:tblGrid>
      <w:tr w:rsidR="004D40FC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4D40FC" w:rsidRDefault="004D40FC">
            <w:pPr>
              <w:pStyle w:val="a8"/>
            </w:pPr>
            <w:r>
              <w:t>Руководитель Федеральной службы</w:t>
            </w:r>
            <w:r>
              <w:br/>
              <w:t>по надзору в сфере защиты прав</w:t>
            </w:r>
            <w:r>
              <w:br/>
              <w:t>потребителей и благополучия человека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4D40FC" w:rsidRDefault="004D40FC">
            <w:pPr>
              <w:pStyle w:val="a7"/>
              <w:jc w:val="right"/>
            </w:pPr>
            <w:r>
              <w:t>А.Ю. Попова</w:t>
            </w:r>
          </w:p>
        </w:tc>
      </w:tr>
    </w:tbl>
    <w:p w:rsidR="004D40FC" w:rsidRDefault="004D40FC"/>
    <w:tbl>
      <w:tblPr>
        <w:tblW w:w="0" w:type="auto"/>
        <w:tblLook w:val="0000"/>
      </w:tblPr>
      <w:tblGrid>
        <w:gridCol w:w="6666"/>
        <w:gridCol w:w="3333"/>
      </w:tblGrid>
      <w:tr w:rsidR="004D40FC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4D40FC" w:rsidRDefault="004D40FC">
            <w:pPr>
              <w:pStyle w:val="a8"/>
            </w:pPr>
            <w:r>
              <w:t>Руководитель Федеральной службы</w:t>
            </w:r>
            <w:r>
              <w:br/>
              <w:t>по надзору в сфере образования и науки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4D40FC" w:rsidRDefault="004D40FC">
            <w:pPr>
              <w:pStyle w:val="a7"/>
              <w:jc w:val="right"/>
            </w:pPr>
            <w:r>
              <w:t>С.С. Кравцов</w:t>
            </w:r>
          </w:p>
        </w:tc>
      </w:tr>
    </w:tbl>
    <w:p w:rsidR="004D40FC" w:rsidRDefault="004D40FC"/>
    <w:p w:rsidR="004D40FC" w:rsidRDefault="004D40FC">
      <w:pPr>
        <w:pStyle w:val="a8"/>
      </w:pPr>
      <w:r>
        <w:t>______________________________</w:t>
      </w:r>
    </w:p>
    <w:p w:rsidR="004D40FC" w:rsidRDefault="004D40FC">
      <w:bookmarkStart w:id="5" w:name="sub_1111"/>
      <w:r>
        <w:rPr>
          <w:vertAlign w:val="superscript"/>
        </w:rPr>
        <w:lastRenderedPageBreak/>
        <w:t>1</w:t>
      </w:r>
      <w:r>
        <w:t xml:space="preserve"> Nathanson A.I., Alade F., Sharp M.L., Rasmussen E.E., Christy K. The relation between television exposure and executive function among preschoolers // Dev. Psychol. 2014. N  50. P. 1497-1506; https://www.frontiersin.org/articles/10.3389/fpsyg.2017.01833/full; Pagani L.S., Fitzpatrick C. Barnett T.A., Dubow E. Prospective associations between early childhood television exposure and academic, psychosocial, and physical well-being by middle childhood // Arch. Pediatr. Adolesc. Med. 2010. T. 164. P. 425-431; https://jamanetwork.com/journals/jamapediatrics/article-abstract/383160; Moreira, G.A., Pradella-Hallinan M. Sleepiness in Children // Sleep Med. Clin. 2017. N 12. P. 407-413; https://www.ncbi.nlm.nih.gov.</w:t>
      </w:r>
    </w:p>
    <w:p w:rsidR="004D40FC" w:rsidRDefault="004D40FC">
      <w:bookmarkStart w:id="6" w:name="sub_2222"/>
      <w:bookmarkEnd w:id="5"/>
      <w:r>
        <w:rPr>
          <w:vertAlign w:val="superscript"/>
        </w:rPr>
        <w:t>2</w:t>
      </w:r>
      <w:r>
        <w:t xml:space="preserve"> http://www.legifrance.gouv.fr/affichTexte.do?cidTexte=JORFTEXT000037284333&amp; dateTexte= &amp;categorieLien=id; https: //www.theguardian.com/world/2018/jun/07/french-school-students-to-be-banned-from-using-mobile-phones.</w:t>
      </w:r>
    </w:p>
    <w:p w:rsidR="004D40FC" w:rsidRDefault="004D40FC">
      <w:bookmarkStart w:id="7" w:name="sub_3333"/>
      <w:bookmarkEnd w:id="6"/>
      <w:r>
        <w:rPr>
          <w:vertAlign w:val="superscript"/>
        </w:rPr>
        <w:t>3</w:t>
      </w:r>
      <w:r>
        <w:t> https://ru.euronews.com/2018/09/03/ru-school-phones.</w:t>
      </w:r>
    </w:p>
    <w:p w:rsidR="004D40FC" w:rsidRDefault="004D40FC">
      <w:bookmarkStart w:id="8" w:name="sub_4444"/>
      <w:bookmarkEnd w:id="7"/>
      <w:r>
        <w:rPr>
          <w:vertAlign w:val="superscript"/>
        </w:rPr>
        <w:t>4</w:t>
      </w:r>
      <w:r>
        <w:t xml:space="preserve"> https://www.theguardian.com/education/2015/may/16/schools-mobile-phones-academic-results.</w:t>
      </w:r>
    </w:p>
    <w:p w:rsidR="004D40FC" w:rsidRDefault="004D40FC">
      <w:bookmarkStart w:id="9" w:name="sub_5555"/>
      <w:bookmarkEnd w:id="8"/>
      <w:r>
        <w:rPr>
          <w:vertAlign w:val="superscript"/>
        </w:rPr>
        <w:t>5</w:t>
      </w:r>
      <w:r>
        <w:t xml:space="preserve"> https://www.oxfordlearning.com/should-cell-phones-be-allowed-classrooms/.</w:t>
      </w:r>
    </w:p>
    <w:p w:rsidR="004D40FC" w:rsidRDefault="004D40FC">
      <w:bookmarkStart w:id="10" w:name="sub_6666"/>
      <w:bookmarkEnd w:id="9"/>
      <w:r>
        <w:rPr>
          <w:vertAlign w:val="superscript"/>
        </w:rPr>
        <w:t>6</w:t>
      </w:r>
      <w:r>
        <w:t xml:space="preserve"> https://kidspot.co.nz/school-age/back-to-school/should-mobile-phones-be-banned-from-schools/.</w:t>
      </w:r>
    </w:p>
    <w:p w:rsidR="004D40FC" w:rsidRDefault="004D40FC">
      <w:bookmarkStart w:id="11" w:name="sub_7777"/>
      <w:bookmarkEnd w:id="10"/>
      <w:r>
        <w:rPr>
          <w:vertAlign w:val="superscript"/>
        </w:rPr>
        <w:t>7</w:t>
      </w:r>
      <w:r>
        <w:t xml:space="preserve"> https://blogs.worldbank.org/edutech/banning-and-unbanning-phones-schools.</w:t>
      </w:r>
    </w:p>
    <w:bookmarkEnd w:id="11"/>
    <w:p w:rsidR="004D40FC" w:rsidRDefault="004D40FC">
      <w:pPr>
        <w:pStyle w:val="a8"/>
      </w:pPr>
      <w:r>
        <w:t>______________________________</w:t>
      </w:r>
    </w:p>
    <w:p w:rsidR="004D40FC" w:rsidRDefault="004D40FC"/>
    <w:p w:rsidR="004D40FC" w:rsidRDefault="004D40FC">
      <w:pPr>
        <w:ind w:firstLine="0"/>
        <w:jc w:val="right"/>
      </w:pPr>
      <w:bookmarkStart w:id="12" w:name="sub_1000"/>
      <w:r>
        <w:rPr>
          <w:rStyle w:val="a3"/>
          <w:bCs/>
        </w:rPr>
        <w:t>Приложение 1</w:t>
      </w:r>
    </w:p>
    <w:bookmarkEnd w:id="12"/>
    <w:p w:rsidR="004D40FC" w:rsidRDefault="004D40FC"/>
    <w:p w:rsidR="004D40FC" w:rsidRDefault="004D40FC">
      <w:pPr>
        <w:pStyle w:val="1"/>
      </w:pPr>
      <w:r>
        <w:t>Результаты исследований, показавших отрицательные последствия использования устройств мобильной связи на здоровье детей</w:t>
      </w:r>
    </w:p>
    <w:p w:rsidR="004D40FC" w:rsidRDefault="004D40FC"/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005"/>
        <w:gridCol w:w="6161"/>
      </w:tblGrid>
      <w:tr w:rsidR="004D40FC">
        <w:tblPrEx>
          <w:tblCellMar>
            <w:top w:w="0" w:type="dxa"/>
            <w:bottom w:w="0" w:type="dxa"/>
          </w:tblCellMar>
        </w:tblPrEx>
        <w:tc>
          <w:tcPr>
            <w:tcW w:w="4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0FC" w:rsidRDefault="004D40FC">
            <w:pPr>
              <w:pStyle w:val="a7"/>
              <w:jc w:val="center"/>
            </w:pPr>
            <w:r>
              <w:t>Исследователи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40FC" w:rsidRDefault="004D40FC">
            <w:pPr>
              <w:pStyle w:val="a7"/>
              <w:jc w:val="center"/>
            </w:pPr>
            <w:r>
              <w:t>Отрицательные эффекты</w:t>
            </w:r>
          </w:p>
        </w:tc>
      </w:tr>
      <w:tr w:rsidR="004D40FC">
        <w:tblPrEx>
          <w:tblCellMar>
            <w:top w:w="0" w:type="dxa"/>
            <w:bottom w:w="0" w:type="dxa"/>
          </w:tblCellMar>
        </w:tblPrEx>
        <w:tc>
          <w:tcPr>
            <w:tcW w:w="4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0FC" w:rsidRDefault="004D40FC">
            <w:pPr>
              <w:pStyle w:val="a8"/>
            </w:pPr>
            <w:r>
              <w:t>Burnett and Lee, 2005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40FC" w:rsidRDefault="004D40FC">
            <w:pPr>
              <w:pStyle w:val="a8"/>
            </w:pPr>
            <w:r>
              <w:t>Использование навигационной системы смартфона ухудшает построение когнитивной пространственной карты</w:t>
            </w:r>
          </w:p>
        </w:tc>
      </w:tr>
      <w:tr w:rsidR="004D40FC">
        <w:tblPrEx>
          <w:tblCellMar>
            <w:top w:w="0" w:type="dxa"/>
            <w:bottom w:w="0" w:type="dxa"/>
          </w:tblCellMar>
        </w:tblPrEx>
        <w:tc>
          <w:tcPr>
            <w:tcW w:w="4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0FC" w:rsidRDefault="004D40FC">
            <w:pPr>
              <w:pStyle w:val="a8"/>
            </w:pPr>
            <w:r>
              <w:t>Day J.J et al., 2007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40FC" w:rsidRDefault="004D40FC">
            <w:pPr>
              <w:pStyle w:val="a8"/>
            </w:pPr>
            <w:r>
              <w:t>Формирование психологической зависимости</w:t>
            </w:r>
          </w:p>
        </w:tc>
      </w:tr>
      <w:tr w:rsidR="004D40FC">
        <w:tblPrEx>
          <w:tblCellMar>
            <w:top w:w="0" w:type="dxa"/>
            <w:bottom w:w="0" w:type="dxa"/>
          </w:tblCellMar>
        </w:tblPrEx>
        <w:tc>
          <w:tcPr>
            <w:tcW w:w="4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0FC" w:rsidRDefault="004D40FC">
            <w:pPr>
              <w:pStyle w:val="a8"/>
            </w:pPr>
            <w:r>
              <w:t>Ophir et al., 2009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40FC" w:rsidRDefault="004D40FC">
            <w:pPr>
              <w:pStyle w:val="a8"/>
            </w:pPr>
            <w:r>
              <w:t>Работают хуже в парадигме переключения задач из-за ограниченной способности отфильтровывать помехи</w:t>
            </w:r>
          </w:p>
        </w:tc>
      </w:tr>
      <w:tr w:rsidR="004D40FC">
        <w:tblPrEx>
          <w:tblCellMar>
            <w:top w:w="0" w:type="dxa"/>
            <w:bottom w:w="0" w:type="dxa"/>
          </w:tblCellMar>
        </w:tblPrEx>
        <w:tc>
          <w:tcPr>
            <w:tcW w:w="4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0FC" w:rsidRDefault="004D40FC">
            <w:pPr>
              <w:pStyle w:val="a8"/>
            </w:pPr>
            <w:r>
              <w:t>Черненков Ю.В. и др., 2009; Pagani L.S., et al., 2010;</w:t>
            </w:r>
          </w:p>
          <w:p w:rsidR="004D40FC" w:rsidRDefault="004D40FC">
            <w:pPr>
              <w:pStyle w:val="a8"/>
            </w:pPr>
            <w:r>
              <w:t>Nathanson A.I. et al., 2014;</w:t>
            </w:r>
          </w:p>
          <w:p w:rsidR="004D40FC" w:rsidRDefault="004D40FC">
            <w:pPr>
              <w:pStyle w:val="a8"/>
            </w:pPr>
            <w:r>
              <w:t>Moreira, G.A et al., 2017;</w:t>
            </w:r>
          </w:p>
          <w:p w:rsidR="004D40FC" w:rsidRDefault="004D40FC">
            <w:pPr>
              <w:pStyle w:val="a8"/>
            </w:pPr>
            <w:r>
              <w:t>Григорьев Ю.Г. и др., 2017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40FC" w:rsidRDefault="004D40FC">
            <w:pPr>
              <w:pStyle w:val="a8"/>
            </w:pPr>
            <w:r>
              <w:t>Гиперактивность, повышенная раздражительность, снижение умственной работоспособности, долговременной памяти, расстройства сна, нарушения коммуникативных способностей, склонность к депрессивным состояниям</w:t>
            </w:r>
          </w:p>
        </w:tc>
      </w:tr>
      <w:tr w:rsidR="004D40FC">
        <w:tblPrEx>
          <w:tblCellMar>
            <w:top w:w="0" w:type="dxa"/>
            <w:bottom w:w="0" w:type="dxa"/>
          </w:tblCellMar>
        </w:tblPrEx>
        <w:tc>
          <w:tcPr>
            <w:tcW w:w="4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0FC" w:rsidRDefault="004D40FC">
            <w:pPr>
              <w:pStyle w:val="a8"/>
            </w:pPr>
            <w:r>
              <w:t>Panda N. et al., 2010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40FC" w:rsidRDefault="004D40FC">
            <w:pPr>
              <w:pStyle w:val="a8"/>
            </w:pPr>
            <w:r>
              <w:t>Нарушения фонематического восприятия</w:t>
            </w:r>
          </w:p>
        </w:tc>
      </w:tr>
      <w:tr w:rsidR="004D40FC">
        <w:tblPrEx>
          <w:tblCellMar>
            <w:top w:w="0" w:type="dxa"/>
            <w:bottom w:w="0" w:type="dxa"/>
          </w:tblCellMar>
        </w:tblPrEx>
        <w:tc>
          <w:tcPr>
            <w:tcW w:w="4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0FC" w:rsidRDefault="004D40FC">
            <w:pPr>
              <w:pStyle w:val="a8"/>
            </w:pPr>
            <w:r>
              <w:t>Sparrow et al., 2011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40FC" w:rsidRDefault="004D40FC">
            <w:pPr>
              <w:pStyle w:val="a8"/>
            </w:pPr>
            <w:r>
              <w:t>Запоминают не саму информацию, а место, где эта информация может быть доступна</w:t>
            </w:r>
          </w:p>
        </w:tc>
      </w:tr>
      <w:tr w:rsidR="004D40FC">
        <w:tblPrEx>
          <w:tblCellMar>
            <w:top w:w="0" w:type="dxa"/>
            <w:bottom w:w="0" w:type="dxa"/>
          </w:tblCellMar>
        </w:tblPrEx>
        <w:tc>
          <w:tcPr>
            <w:tcW w:w="4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0FC" w:rsidRDefault="004D40FC">
            <w:pPr>
              <w:pStyle w:val="a8"/>
            </w:pPr>
            <w:r>
              <w:t>Lu M. et al., 2012</w:t>
            </w:r>
          </w:p>
          <w:p w:rsidR="004D40FC" w:rsidRDefault="004D40FC">
            <w:pPr>
              <w:pStyle w:val="a8"/>
            </w:pPr>
            <w:r>
              <w:t>L. Hardell et al., 2013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40FC" w:rsidRDefault="004D40FC">
            <w:pPr>
              <w:pStyle w:val="a8"/>
            </w:pPr>
            <w:r>
              <w:t>Риски доброкачественных и злокачественных опухолей головного мозга, слухового нерва</w:t>
            </w:r>
          </w:p>
        </w:tc>
      </w:tr>
      <w:tr w:rsidR="004D40FC">
        <w:tblPrEx>
          <w:tblCellMar>
            <w:top w:w="0" w:type="dxa"/>
            <w:bottom w:w="0" w:type="dxa"/>
          </w:tblCellMar>
        </w:tblPrEx>
        <w:tc>
          <w:tcPr>
            <w:tcW w:w="4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0FC" w:rsidRDefault="004D40FC">
            <w:pPr>
              <w:pStyle w:val="a8"/>
            </w:pPr>
            <w:r>
              <w:t>Ralph et al., 2013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40FC" w:rsidRDefault="004D40FC">
            <w:pPr>
              <w:pStyle w:val="a8"/>
            </w:pPr>
            <w:r>
              <w:t>Более высокие уровни ежедневных сбоев внимания</w:t>
            </w:r>
          </w:p>
        </w:tc>
      </w:tr>
      <w:tr w:rsidR="004D40FC">
        <w:tblPrEx>
          <w:tblCellMar>
            <w:top w:w="0" w:type="dxa"/>
            <w:bottom w:w="0" w:type="dxa"/>
          </w:tblCellMar>
        </w:tblPrEx>
        <w:tc>
          <w:tcPr>
            <w:tcW w:w="4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0FC" w:rsidRDefault="004D40FC">
            <w:pPr>
              <w:pStyle w:val="a8"/>
            </w:pPr>
            <w:r>
              <w:t>Thornton et al., 2014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40FC" w:rsidRDefault="004D40FC">
            <w:pPr>
              <w:pStyle w:val="a8"/>
            </w:pPr>
            <w:r>
              <w:t xml:space="preserve">"Простое присутствие" сотового телефона может </w:t>
            </w:r>
            <w:r>
              <w:lastRenderedPageBreak/>
              <w:t>привести к снижению внимания и ухудшению выполнения задач, особенно для задач с высокими когнитивными требованиями</w:t>
            </w:r>
          </w:p>
        </w:tc>
      </w:tr>
      <w:tr w:rsidR="004D40FC">
        <w:tblPrEx>
          <w:tblCellMar>
            <w:top w:w="0" w:type="dxa"/>
            <w:bottom w:w="0" w:type="dxa"/>
          </w:tblCellMar>
        </w:tblPrEx>
        <w:tc>
          <w:tcPr>
            <w:tcW w:w="4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0FC" w:rsidRDefault="004D40FC">
            <w:pPr>
              <w:pStyle w:val="a8"/>
            </w:pPr>
            <w:r>
              <w:lastRenderedPageBreak/>
              <w:t>Lepp et al., 2014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40FC" w:rsidRDefault="004D40FC">
            <w:pPr>
              <w:pStyle w:val="a8"/>
            </w:pPr>
            <w:r>
              <w:t>Положительная корреляция между использованием смартфона и беспокойством</w:t>
            </w:r>
          </w:p>
        </w:tc>
      </w:tr>
      <w:tr w:rsidR="004D40FC">
        <w:tblPrEx>
          <w:tblCellMar>
            <w:top w:w="0" w:type="dxa"/>
            <w:bottom w:w="0" w:type="dxa"/>
          </w:tblCellMar>
        </w:tblPrEx>
        <w:tc>
          <w:tcPr>
            <w:tcW w:w="4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0FC" w:rsidRDefault="004D40FC">
            <w:pPr>
              <w:pStyle w:val="a8"/>
            </w:pPr>
            <w:r>
              <w:t>Owens, J.A. et al., 2014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40FC" w:rsidRDefault="004D40FC">
            <w:pPr>
              <w:pStyle w:val="a8"/>
            </w:pPr>
            <w:r>
              <w:t>Задержка начала сна, сокращение ночного сна, прерывистый сон, дневная сонливость</w:t>
            </w:r>
          </w:p>
        </w:tc>
      </w:tr>
      <w:tr w:rsidR="004D40FC">
        <w:tblPrEx>
          <w:tblCellMar>
            <w:top w:w="0" w:type="dxa"/>
            <w:bottom w:w="0" w:type="dxa"/>
          </w:tblCellMar>
        </w:tblPrEx>
        <w:tc>
          <w:tcPr>
            <w:tcW w:w="4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0FC" w:rsidRDefault="004D40FC">
            <w:pPr>
              <w:pStyle w:val="a8"/>
            </w:pPr>
            <w:r>
              <w:t>Stothart et al., 2015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40FC" w:rsidRDefault="004D40FC">
            <w:pPr>
              <w:pStyle w:val="a8"/>
            </w:pPr>
            <w:r>
              <w:t>При выполнении задачи, требующей внимания, уведомления по мобильному телефону вызывают сбои в производительности, сходные по величине с активным использованием телефона</w:t>
            </w:r>
          </w:p>
        </w:tc>
      </w:tr>
      <w:tr w:rsidR="004D40FC">
        <w:tblPrEx>
          <w:tblCellMar>
            <w:top w:w="0" w:type="dxa"/>
            <w:bottom w:w="0" w:type="dxa"/>
          </w:tblCellMar>
        </w:tblPrEx>
        <w:tc>
          <w:tcPr>
            <w:tcW w:w="4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0FC" w:rsidRDefault="004D40FC">
            <w:pPr>
              <w:pStyle w:val="a8"/>
            </w:pPr>
            <w:r>
              <w:t>Barr et al., 2015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40FC" w:rsidRDefault="004D40FC">
            <w:pPr>
              <w:pStyle w:val="a8"/>
            </w:pPr>
            <w:r>
              <w:t>Большее использования смартфона коррелирует с более интуитивным и менее аналитическим мышлением</w:t>
            </w:r>
          </w:p>
        </w:tc>
      </w:tr>
      <w:tr w:rsidR="004D40FC">
        <w:tblPrEx>
          <w:tblCellMar>
            <w:top w:w="0" w:type="dxa"/>
            <w:bottom w:w="0" w:type="dxa"/>
          </w:tblCellMar>
        </w:tblPrEx>
        <w:tc>
          <w:tcPr>
            <w:tcW w:w="4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0FC" w:rsidRDefault="004D40FC">
            <w:pPr>
              <w:pStyle w:val="a8"/>
            </w:pPr>
            <w:r>
              <w:t>Moisala et al., 2016;</w:t>
            </w:r>
          </w:p>
          <w:p w:rsidR="004D40FC" w:rsidRDefault="004D40FC">
            <w:pPr>
              <w:pStyle w:val="a8"/>
            </w:pPr>
            <w:r>
              <w:t>Lepp A et al. 2015;</w:t>
            </w:r>
          </w:p>
          <w:p w:rsidR="004D40FC" w:rsidRDefault="004D40FC">
            <w:pPr>
              <w:pStyle w:val="a8"/>
            </w:pPr>
            <w:r>
              <w:t>Beland L.-P., 2015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40FC" w:rsidRDefault="004D40FC">
            <w:pPr>
              <w:pStyle w:val="a8"/>
            </w:pPr>
            <w:r>
              <w:t>При наличии раздражителей, отвлекающих внимание во время задачи постоянного внимания, "многозадачники" работают хуже и больше активности в правой префронтальной коре, отмечается снижение успеваемости</w:t>
            </w:r>
          </w:p>
        </w:tc>
      </w:tr>
      <w:tr w:rsidR="004D40FC">
        <w:tblPrEx>
          <w:tblCellMar>
            <w:top w:w="0" w:type="dxa"/>
            <w:bottom w:w="0" w:type="dxa"/>
          </w:tblCellMar>
        </w:tblPrEx>
        <w:tc>
          <w:tcPr>
            <w:tcW w:w="4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0FC" w:rsidRDefault="004D40FC">
            <w:pPr>
              <w:pStyle w:val="a8"/>
            </w:pPr>
            <w:r>
              <w:t>Cain et al., 2016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40FC" w:rsidRDefault="004D40FC">
            <w:pPr>
              <w:pStyle w:val="a8"/>
            </w:pPr>
            <w:r>
              <w:t>Связано с более низкой производительностью рабочей памяти и более низкими результатами стандартизированных тестов</w:t>
            </w:r>
          </w:p>
        </w:tc>
      </w:tr>
    </w:tbl>
    <w:p w:rsidR="004D40FC" w:rsidRDefault="004D40FC"/>
    <w:p w:rsidR="004D40FC" w:rsidRDefault="004D40FC">
      <w:pPr>
        <w:ind w:firstLine="0"/>
        <w:jc w:val="right"/>
      </w:pPr>
      <w:bookmarkStart w:id="13" w:name="sub_2000"/>
      <w:r>
        <w:rPr>
          <w:rStyle w:val="a3"/>
          <w:bCs/>
        </w:rPr>
        <w:t>Приложение 2</w:t>
      </w:r>
    </w:p>
    <w:bookmarkEnd w:id="13"/>
    <w:p w:rsidR="004D40FC" w:rsidRDefault="004D40FC"/>
    <w:p w:rsidR="004D40FC" w:rsidRDefault="004D40FC">
      <w:pPr>
        <w:pStyle w:val="1"/>
      </w:pPr>
      <w:r>
        <w:t>Памятка для обучающихся, родителей и педагогических работников по профилактике неблагоприятных для здоровья и обучения детей эффектов от воздействия устройств мобильной связи</w:t>
      </w:r>
    </w:p>
    <w:p w:rsidR="004D40FC" w:rsidRDefault="004D40FC"/>
    <w:p w:rsidR="004D40FC" w:rsidRDefault="004D40FC">
      <w:bookmarkStart w:id="14" w:name="sub_2001"/>
      <w:r>
        <w:t>1. Исключение ношения устройств мобильной связи на шее, поясе, в карманах одежды с целью снижения негативного влияния на здоровье.</w:t>
      </w:r>
    </w:p>
    <w:p w:rsidR="004D40FC" w:rsidRDefault="004D40FC">
      <w:bookmarkStart w:id="15" w:name="sub_2002"/>
      <w:bookmarkEnd w:id="14"/>
      <w:r>
        <w:t>2. Максимальное сокращение времени контакта с устройствами мобильной связи.</w:t>
      </w:r>
    </w:p>
    <w:p w:rsidR="004D40FC" w:rsidRDefault="004D40FC">
      <w:bookmarkStart w:id="16" w:name="sub_2003"/>
      <w:bookmarkEnd w:id="15"/>
      <w:r>
        <w:t>3. Максимальное удаление устройств мобильной связи от головы в момент соединения и разговора (с использованием громкой связи и гарнитуры).</w:t>
      </w:r>
    </w:p>
    <w:p w:rsidR="004D40FC" w:rsidRDefault="004D40FC">
      <w:bookmarkStart w:id="17" w:name="sub_2004"/>
      <w:bookmarkEnd w:id="16"/>
      <w:r>
        <w:t>4. Максимальное ограничение звонков с устройств мобильной связи в условиях неустойчивого приема сигнала сотовой связи (автобус, метро, поезд, автомобиль).</w:t>
      </w:r>
    </w:p>
    <w:p w:rsidR="004D40FC" w:rsidRDefault="004D40FC">
      <w:bookmarkStart w:id="18" w:name="sub_2005"/>
      <w:bookmarkEnd w:id="17"/>
      <w:r>
        <w:t>5. Размещение устройств мобильной связи на ночь на расстоянии более 2 метров от головы.</w:t>
      </w:r>
    </w:p>
    <w:bookmarkEnd w:id="18"/>
    <w:p w:rsidR="004D40FC" w:rsidRDefault="004D40FC"/>
    <w:sectPr w:rsidR="004D40FC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B510B9"/>
    <w:rsid w:val="00054DEE"/>
    <w:rsid w:val="00250765"/>
    <w:rsid w:val="004D40FC"/>
    <w:rsid w:val="00B510B9"/>
    <w:rsid w:val="00C30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72519216.0" TargetMode="External"/><Relationship Id="rId5" Type="http://schemas.openxmlformats.org/officeDocument/2006/relationships/hyperlink" Target="garantF1://72516130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2026</Words>
  <Characters>11551</Characters>
  <Application>Microsoft Office Word</Application>
  <DocSecurity>0</DocSecurity>
  <Lines>96</Lines>
  <Paragraphs>27</Paragraphs>
  <ScaleCrop>false</ScaleCrop>
  <Company>НПП "Гарант-Сервис"</Company>
  <LinksUpToDate>false</LinksUpToDate>
  <CharactersWithSpaces>13550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Андрей</cp:lastModifiedBy>
  <cp:revision>2</cp:revision>
  <dcterms:created xsi:type="dcterms:W3CDTF">2022-01-31T12:45:00Z</dcterms:created>
  <dcterms:modified xsi:type="dcterms:W3CDTF">2022-01-31T12:45:00Z</dcterms:modified>
</cp:coreProperties>
</file>